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CA" w:rsidRPr="00E12ACA" w:rsidRDefault="00E12ACA" w:rsidP="00E12A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E12AC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E12ACA" w:rsidRPr="00E12ACA" w:rsidRDefault="00E12ACA" w:rsidP="00E12AC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E12AC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12ACA" w:rsidRPr="00E12ACA" w:rsidRDefault="00E12ACA" w:rsidP="00E12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A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E12ACA" w:rsidRPr="00E12ACA" w:rsidTr="00E12A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E12ACA" w:rsidRPr="00E12A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2ACA" w:rsidRPr="00E12ACA" w:rsidRDefault="00E12ACA" w:rsidP="00E12ACA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  <w:lang w:eastAsia="pt-BR"/>
                    </w:rPr>
                    <w:t xml:space="preserve">Convenção Coletiva De Trabalho 2013/2014 </w:t>
                  </w:r>
                </w:p>
              </w:tc>
            </w:tr>
            <w:tr w:rsidR="00E12ACA" w:rsidRPr="00E12A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E12ACA" w:rsidRPr="00E12A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NÚMERO DE REGISTRO NO MTE:</w:t>
                        </w: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CE001544/2013 </w:t>
                        </w:r>
                      </w:p>
                    </w:tc>
                  </w:tr>
                  <w:tr w:rsidR="00E12ACA" w:rsidRPr="00E12A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DATA DE REGISTRO NO MTE:</w:t>
                        </w: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30/10/2013 </w:t>
                        </w:r>
                      </w:p>
                    </w:tc>
                  </w:tr>
                  <w:tr w:rsidR="00E12ACA" w:rsidRPr="00E12A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NÚMERO DA SOLICITAÇÃO:</w:t>
                        </w: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MR062452/2013 </w:t>
                        </w:r>
                      </w:p>
                    </w:tc>
                  </w:tr>
                  <w:tr w:rsidR="00E12ACA" w:rsidRPr="00E12A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NÚMERO DO PROCESSO:</w:t>
                        </w: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46205.019023/2013-15 </w:t>
                        </w:r>
                      </w:p>
                    </w:tc>
                  </w:tr>
                  <w:tr w:rsidR="00E12ACA" w:rsidRPr="00E12A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DATA DO PROTOCOLO:</w:t>
                        </w: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E12AC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25/10/2013 </w:t>
                        </w:r>
                      </w:p>
                    </w:tc>
                  </w:tr>
                </w:tbl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E12ACA" w:rsidRPr="00E12A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SINDICATO DAS SANT CASAS HOSP ENT FILANT DO EST CEARA, CNPJ n. 73.970.212/0001-75, neste ato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representado(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a) por seu Vice-Presidente, Sr(a). ALDENIS DA SILVA MACHADO e por seu Procurador,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Sr(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a). JARDSON SARAIVA CRUZ;</w:t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 xml:space="preserve">E </w:t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 xml:space="preserve">SINDICATO DOS FARMACEUTICOS NO ESTADO DO CEARA, CNPJ n. 07.884.323/0001-34, neste ato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representado(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a) por seu Presidente, Sr(a). PAULO ROQUE MEDEIROS DA COSTA;</w:t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CLÁUSULA PRIMEIRA - VIGÊNCIA E DATA-BASE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 xml:space="preserve">As partes fixam a vigência da presente Convenção Coletiva de Trabalho no período de 01º de maio de 2013 a 30 de abril de 2014 e a data-base da categoria em 01º de maio. </w:t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CLÁUSULA SEGUNDA - ABRANGÊNCIA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 xml:space="preserve">A presente Convenção Coletiva de Trabalho abrangerá a(s) categoria(s)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dos profissionais Farmacêuticos</w:t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, com abrangência territorial em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CE</w:t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. 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Salários, Reajustes e Pagamento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Piso Salarial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TERCEIRA - DO PISO SALARIAL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Fica estabelecido um piso salarial para a categoria profissional equivalente em moeda corrente a R$ 1.263,00 (</w:t>
                  </w:r>
                  <w:proofErr w:type="gram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Hum</w:t>
                  </w:r>
                  <w:proofErr w:type="gram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mil, duzentos e sessenta e três reais)</w:t>
                  </w:r>
                  <w:r w:rsidRPr="00E12A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por 30 horas semanais para todos os farmacêuticos no Estado do Ceará, no mês de Maio de 2013.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§1º: Serão preservados</w:t>
                  </w:r>
                  <w:r w:rsidRPr="00E12A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os salários superiores ao piso ora firmado na presente convenção, incidindo sobre os mesmos um reajuste de 6,5% (seis </w:t>
                  </w:r>
                  <w:proofErr w:type="gram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virgula</w:t>
                  </w:r>
                  <w:proofErr w:type="gram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cinco por cento).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Reajustes/Correções Salariais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QUARTA - DO REAJUSTE SALARIAL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É concedido aos empregados integrantes da categoria profissional, reajuste salarial no percentual de 6,5% (seis e cinco por cento), sobre os salários de 30 de Abril de 2013, deduzidos os reajustes automáticos e espontâneos e relativos ao período de 1º de Maio de 2013 até a data da homologação desta Convenção na SRT, para todos os salários acima do piso salarial.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Outras normas referentes a salários, reajustes, pagamentos e critérios para cálculo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QUINTA - DO 13º SALÁRIO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Os empregadores incluirão no cálculo do 13º salário, os adicionais noturnos, horas-extras, insalubridade ou periculosidade e demais gratificações quando devidas e desde que tais verbas sejam de caráter habitual.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SEXTA - DO SALÁRIO SUBSTITUIÇÃO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Fica assegurada ao substituto a percepção de remuneração igual a do substituído, durante o período de substituição, desde que o período de substituição seja igual ou superior a 30 (trinta) dias e que o substituto tenha sido efetivamente designado para este fim, pelo respectivo empregador, excetuando-se as vantagens pessoais.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SÉTIMA - PARCELAMENTO DA DIFERENÇA DO REAJUSTE SALARIAL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As diferenças oriundas do reajuste acordado na presente Convenção (Maio de 2013 até a data do registro desta convenção na Secretária Regional do Trabalho – SRT)</w:t>
                  </w:r>
                  <w:proofErr w:type="gram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deverão</w:t>
                  </w:r>
                  <w:proofErr w:type="gram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ser pagas aos farmacêuticos, sendo facultado ao empregador fazê-lo em até 03(Três) parcelas mensais e consecutivas, iniciando-se na folha subseqüente à sua homologação na SRT.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Gratificações, Adicionais, Auxílios e Outros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Outras Gratificações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OITAVA - GRATIFICAÇÃO DE TITULAÇÃO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Os empregadores comprometem-se a conceder adicional de titulação no valor de 10% (dez por cento) do piso salarial da categoria, a todo trabalhador que concluir curso de pós-graduação ou obtiver título de especialista, adicional de titulação no valor de 12% (doze por cento) a todo trabalhador que concluir residência em farmácia hospitalar, e adicional de titulação no valor de 15% (quinze por cento) a todo trabalhador que concluir mestrado, doutorado ou afins, não acumulativos e enquanto atue na área relacionada á titulação.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Adicional de Hora-Extra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NONA - DO ADICIONAL DE HORAS-EXTRAS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Fica assegurado que o trabalho realizado em horário extraordinário em dias normais será remunerado com acréscimo de 50% (cinqüenta por cento) sobre o valor da hora normal trabalhada e 100% (cem por cento) quando laboradas aos domingos e feriados com exceção dos plantonistas.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Adicional Noturno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- DO ADICIONAL NOTURNO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Fica convencionado que o trabalho realizado no período de </w:t>
                  </w:r>
                  <w:proofErr w:type="gram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22:00</w:t>
                  </w:r>
                  <w:proofErr w:type="gram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horas ás 05:00 horas do dia seguinte será remunerado com um acréscimo de 20% (vinte por cento) sobre o valor da hora diurna trabalhada.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Adicional de Insalubridade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PRIMEIRA - DO ADICIONAL DE INSALUBRIDADE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Fica garantido aos profissionais representados pelo Sindicato Profissional, adicional de insalubridade de 20% </w:t>
                  </w:r>
                  <w:r w:rsidRPr="00E12AC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pt-BR"/>
                    </w:rPr>
                    <w:t>(vinte por cento)</w:t>
                  </w:r>
                  <w:r w:rsidRPr="00E12AC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sobre o salário mínimo.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Parágrafo único: 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 empregado não terá direito ao adicional de periculosidade e de insalubridade concomitantemente, devendo optar por um deles.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Adicional de Periculosidade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SEGUNDA - DO ADICIONAL DE PERICULOSIDADE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Fará jus ao adicional de periculosidade o profissional farmacêutico que, no exercício de suas funções, mantenha contato ou manipule substâncias que apresentem riscos à saúde ou riscos de vida. O cálculo do adicional de periculosidade terá por base o salário ajustado contratualmente. Em caso de dúvida ao direito ao referido adicional, esta será dirimida com a realização de laudo pericial, quando tão somente </w:t>
                  </w:r>
                  <w:proofErr w:type="spellStart"/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dar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-se-à</w:t>
                  </w:r>
                  <w:proofErr w:type="spell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o pagamento do mesmo.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Parágrafo único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: Os laboratórios deverão manter, em local visível, relação das substâncias perigosas em uso no ambiente, com o grau de risco padronizado e definido, com destaque para as substâncias de alto risco, tais como (inflamáveis, explosivas, </w:t>
                  </w:r>
                  <w:proofErr w:type="gram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gases tóxicas, radiativas, quimioterápicos</w:t>
                  </w:r>
                  <w:proofErr w:type="gram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antineoplásicos</w:t>
                  </w:r>
                  <w:proofErr w:type="spell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Auxílio Alimentação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TERCEIRA - ALIMENTAÇÃO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Os empregadores fornecerão, obrigatoriamente, alimentação (almoço ou jantar) gratuita ao empregado que cumprir jornada de trabalho de 12 (doze) horas e também quando tiverem que cumprir hora extra a partir de 02 (duas) horas além do normal.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Parágrafo único: 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 partir do mês subseqüente a assinatura da presente Convenção a SAMEAC (MEAC e HUWC) fornecerá 22 (vinte e dois</w:t>
                  </w:r>
                  <w:proofErr w:type="gram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)vales</w:t>
                  </w:r>
                  <w:proofErr w:type="gram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-alimentação, no valor de R$12,00 (doze reais ) cada, período de maio á outubro de 2013. A partir de novembro de 2013, o valor será de R$ 12,50 (doze reais e </w:t>
                  </w:r>
                  <w:proofErr w:type="spell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cinquenta</w:t>
                  </w:r>
                  <w:proofErr w:type="spell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centavos</w:t>
                  </w:r>
                  <w:proofErr w:type="gram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).</w:t>
                  </w:r>
                  <w:proofErr w:type="gram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Será descontado mensalmente 3% (três por cento), do valor total dos tickets alimentação.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Auxílio Morte/Funeral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QUARTA - DO AUXÍLIO FUNERAL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 caso de falecimento do empregado, a empresa pagará R$ 900,00 (Novecentos Reais), a título de auxílio funeral, a família do mesmo, mediante apresentação do atestado de óbito.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Auxílio Creche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QUINTA - DO AUXÍLIO CRECHE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Os estabelecimentos que não possuírem creche ou que não mantiverem algum convênio, em que trabalhem mais de 30 (trinta) mulheres,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deverão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pagar mensalmente aos seus funcionários do sexo feminino, que tenham filhos de até 06 (seis) anos de idade a importância equivalente a </w:t>
                  </w:r>
                  <w:r w:rsidRPr="00E12AC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pt-BR"/>
                    </w:rPr>
                    <w:t>R$ 80,00 (Oitenta Reais)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para cada filho, a título de despesas de internamento em creches ou entidades congêneres de livre escolha da funcionária, mediante a apresentação mensal do recibo da creche com efeitos fiscais para que tal benefício não configure salário indireto.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Parágrafo Único: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O benefício acima será extensivo à mãe adotiva, cujo pagamento será efetivado a partir da comprovação da adoção perante a empresa.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Contrato de Trabalho – Admissão, Demissão, Modalidades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Normas para Admissão/Contratação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SEXTA - CONTRATO DE EXPERIÊNCIA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 contrato de experiência previsto no parágrafo único do Art. 445 da CLT será celebrado observando-se período máximo de 90 (noventa) dias, não se admitindo prorrogação. Em caso de readmissão no prazo de até seis meses da admissão, fica abolido o contrato de experiência.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Outras normas referentes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a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 admissão, demissão e modalidades de contratação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SÉTIMA - DA ANOTAÇÃO NA CTPS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Será registrado na Carteira de Trabalho do empregado, o período em que o profissional for designado para exercer cargo de chefia ou supervisão, bem como as suas anotações de gratificações e outras vantagens decorrentes do exercício da função.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Relações de Trabalho – Condições de Trabalho, Normas de Pessoal e Estabilidades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Estabilidade Mãe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OITAVA - DA GARANTIA DE EMPREGO À GESTANTE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Fica assegurada ao profissional a estabilidade no trabalho d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 empregada gestante, quando devidamente comprovada a gravidez perante o empregador por comunicação da empregada, a estabilidade provisória desde o início da gestação, até 05 (cinco) meses após o parto, podendo, todavia, o empregador rescindir o contrato de trabalho da empregada gestante, no curso do prazo acima previsto, nas hipóteses de justa causa e por pedido de demissão, com a devida assistência do sindicato laboral.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Estabilidade Acidentados/Portadores Doença Profissional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DÉCIMA NONA - DA ESTABILIDADE AO ACIDENTADO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Fica assegurada ao profissional a estabilidade por motivo de acidente do trabalho, somente no caso em que tenha sido concedido auxílio acidente, por um período de 12 meses após o término da licença previdenciária de acordo com a lei vigente.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Estabilidade Aposentadoria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- GARANTIA DA APOSENTADORIA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Fica assegurado ao empregado que for dispensado, sem justa causa e que tenha na empresa mais de 05 (cinco) anos de serviço consecutivos e a quem, concomitantemente, falte, no máximo, 12 meses para se aposentar, a empresa pagará ao mesmo o valor correspondente das contribuições ao INSS, como autônomo, referente ao período necessário para que se complete o tempo de aposentadoria, com base no último salário reajustado na forma da presente Convenção Coletiva, reembolso este que não terá natureza salarial. O referido pagamento dar-se-á quando da homologação da rescisão contratual.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Outras normas referentes a condições para o exercício do trabalho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PRIMEIRA - DO EXERCÍCIO DA PROFISSÃO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Fica proibida a contratação de profissionais para o desempenho de funções farmacêuticas não correspondentes a sua formação, de nível superior e sem o devido registro no Conselho Regional de Farmácia.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Outras normas de pessoal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SEGUNDA - DO COMPROVANTE DE PAGAMENTO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Fica convencionado que os salários dos profissionais da categoria, serão pagos mediante assinatura na folha de pagamento e /ou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contra-cheque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, obrigando-se o estabelecimento empregador a fornecer aos respectivos profissionais comprovante de pagamento padronizado e formalmente preenchido, com as discriminações das verbas recebidas, bem como, dos respectivos descontos.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Jornada de Trabalho – Duração, Distribuição, Controle, Faltas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Faltas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TERCEIRA - FALTAS ABONADAS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Serão abonadas as faltas dos profissionais da categoria, decorrentes de participação em congressos ou seminários, que se prestem ao aprimoramento profissional, no limite de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02 (dois eventos anuais), 01 (um)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por semestre, desde que obedeça aos seguintes critérios: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tabs>
                      <w:tab w:val="num" w:pos="240"/>
                    </w:tabs>
                    <w:spacing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a)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Que exista solicitação prévia para aprovação do empregador, com antecedência mínima de 15 (quinze) dias;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b) Que o afastamento limite-se a no máximo 01 (um) profissional da categoria para cada número de 04 (quatro) profissionais farmacêuticos existentes na empresa;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ind w:right="-10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c) Que não ocorra prejuízo de atendimento dos usuários da empresa;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d) Que o afastamento não ultrapasse o período máximo de 07 (sete) dias, incluindo o dia do descanso semanal remunerado.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ind w:lef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e) Que seja comprovada através de certificado, a participação do profissional no evento 72h após.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QUARTA - DO CASAMENTO - AUSÊNCIA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O farmacêutico poderá deixar de comparecer ao trabalho por 03 (três) dias consecutivos, em razão de seu casamento, desde que comunicado com antecedência mínima de 15 (quinze) dias e mediante comprovação.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QUINTA - AUSÊNCIA JUSTIFICADA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 profissional farmacêutico que necessite acompanhar seus filhos menores de 06 (seis) anos, inválidos e dependentes previdenciários às consultas médicas, não sofrerá desconto em sua remuneração, desde que forneça a empresa o respectivo atestado médico, limitando-se essa condição, no máximo 10 (dez) dias por ano.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Outras disposições sobre jornada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SEXTA - TRABALHOS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 EM DOMINGOS E FERIADOS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Os farmacêuticos, que atendendo às necessidades da Instituição empregadora, forem obrigados a prestarem serviços em dia de Domingo, terão direito ao repouso semanal remunerado, em outro dia da semana</w:t>
                  </w:r>
                  <w:r w:rsidRPr="00E12AC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 xml:space="preserve">, 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com exceção dos plantonistas. Os Farmacêuticos, que atendendo às necessidades da Instituição empregadora, forem obrigados a prestarem serviços em dias feriados (que caiam em dia da semana, de segunda-feira a sábado) o pagamento da diária será feito em dobro, sendo facultado ao empregador conceder 01 (uma) folga compensatória, além das folgas existentes, com exceção dos plantonistas.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Saúde e Segurança do Trabalhador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Exames Médicos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SÉTIMA - EXAMES MÉDICOS ADMISSIONAIS E DEMISSIONAIS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Os exames médicos </w:t>
                  </w:r>
                  <w:proofErr w:type="spell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admissionais</w:t>
                  </w:r>
                  <w:proofErr w:type="spell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demissionais</w:t>
                  </w:r>
                  <w:proofErr w:type="spellEnd"/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dos profissionais da categoria serão sempre custeados pelas empresas.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Relações Sindicais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Liberação de Empregados para Atividades Sindicais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OITAVA - DA PARTICIPAÇÃO EM CONSELHOS E FÓRUNS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Membros da Diretoria Executiva do Sindicato dos Farmacêuticos no Estado do Ceará (em no máximo 02), quando forem oficialmente convocados a participar de reuniões dos Conselhos ou Fóruns Estadual ou Municipal de Saúde, em dias e horários coincidentes com os de trabalho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, poderão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solicitar ao empregador, sua liberação sem prejuízo de sua remuneração, mediante as seguintes condições:</w:t>
                  </w:r>
                </w:p>
                <w:p w:rsidR="00E12ACA" w:rsidRPr="00E12ACA" w:rsidRDefault="00E12ACA" w:rsidP="00E12ACA">
                  <w:pPr>
                    <w:tabs>
                      <w:tab w:val="num" w:pos="240"/>
                    </w:tabs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a)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Que a solicitação seja feita com 05 (cinco) dias de antecedência;</w:t>
                  </w:r>
                </w:p>
                <w:p w:rsidR="00E12ACA" w:rsidRPr="00E12ACA" w:rsidRDefault="00E12ACA" w:rsidP="00E12ACA">
                  <w:pPr>
                    <w:tabs>
                      <w:tab w:val="num" w:pos="240"/>
                    </w:tabs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b)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Que a liberação seja no máximo de 01 (um) por estabelecimento, exceto no caso da empresa possuir apenas 01 (um) profissional;</w:t>
                  </w:r>
                </w:p>
                <w:p w:rsidR="00E12ACA" w:rsidRPr="00E12ACA" w:rsidRDefault="00E12ACA" w:rsidP="00E12ACA">
                  <w:pPr>
                    <w:tabs>
                      <w:tab w:val="left" w:pos="240"/>
                      <w:tab w:val="left" w:pos="360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c)</w:t>
                  </w:r>
                  <w:r w:rsidRPr="00E12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Que o empregado, membro da Diretoria Executiva do Sindicato, comprove formalmente a sua convocação e participação à referida reunião do Conselho ou Fórum, no prazo de 15 (quinze) dias após a sua participação no evento.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Contribuições Sindicais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VIGÉSIMA NONA - DO DESCONTO ASSISTENCIAL LABORAL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4"/>
                      <w:lang w:eastAsia="pt-BR"/>
                    </w:rPr>
                    <w:t xml:space="preserve">Os empregadores descontarão dos profissionais representados pelo sindicato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1"/>
                      <w:szCs w:val="24"/>
                      <w:lang w:eastAsia="pt-BR"/>
                    </w:rPr>
                    <w:t>laboral associados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1"/>
                      <w:szCs w:val="24"/>
                      <w:lang w:eastAsia="pt-BR"/>
                    </w:rPr>
                    <w:t xml:space="preserve"> e dos não associados mediante autorização expressa, de uma só vez e quando do primeiro pagamento dos salários reajustados, a importância correspondente a 6,5% (Seis e meio por cento) sobre o piso salarial, a título de contribuição assistencial, devendo a referida importância ser recolhida através de boletos da CAIXA ECONÔMICA FEDERAL, emitidos pelo Sindicato dos Farmacêuticos no Estado do Ceará, até 30 (trinta) dias após a homologação desta convenção.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>§ 1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º:</w:t>
                  </w:r>
                  <w:r w:rsidRPr="00E12AC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 caso, do empregado perceber salário maior do que o piso servirá de valor referência para cálculo do desconto assistencial somente o piso salarial.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>§ 2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º:</w:t>
                  </w:r>
                  <w:r w:rsidRPr="00E12AC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 empregador terá 10 (dez) dias úteis para efetuar o pagamento ao sindicato laboral após o desconto, apresentando a relação de empregados e o valor descontado por correspondência ou pelo fax: (0**85) 3221-3656 com carimbo do CNPJ da empresa, para que seja possível a identificação.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TRIGÉSIMA - DO DESCONTO ASSISTENCIAL PATRONAL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As empresas filiadas ao SINDHEF abrangidas pela presente Convenção recolherão ao SINDHEF - Sindicato das Santas Casas, Hospitais e Entidades Filantrópicas do Estado do Ceará, a título da contribuição assistencial, 3% (três por cento) sobre o valor bruto da folha de pagamento do mês de agosto parcelado em 12 vezes. Os recolhimentos efetuados fora dos prazos acima previstos ou a falta dos documentos solicitados sujeitará o estabelecimento faltoso à multa de 2% (dois por cento), juros de 1% (um por cento) por mês e atualização monetária na forma da Lei, independente das medidas cabíveis e demais sanções previstas em Lei. Na importância da arrecadação da Contribuição assistencial serão feitos os seguintes créditos na Caixa Econômica Federal, conta corrente n° 402066-9, agência 0619 – op. 003, Shopping Del </w:t>
                  </w:r>
                  <w:proofErr w:type="spell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Paseo</w:t>
                  </w:r>
                  <w:proofErr w:type="spell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>Parágrafo Único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 A entidade deverá remeter ao SINDHEF - Sindicato das Santas Casas, Hospitais e Entidades Filantrópicas do Estado do Ceará a Segunda via da Guia quitada juntamente com a cópia da GRPS (Guia de Recolhimento da Previdência Social) do mês que se refere à contribuição, até o 10° dia do mês seguinte.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Disposições Gerais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Mecanismos de Solução de Conflitos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TRIGÉSIMA PRIMEIRA - DO FORO COMPETENTE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As controvérsias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porventura resultantes da aplicação da presente Convenção Coletiva de Trabalho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serão dirimidas em Fortaleza- Ceará, se antes não forem solucionadas pelas partes convenentes.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 xml:space="preserve">Descumprimento do Instrumento Coletivo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 xml:space="preserve">CLÁUSULA TRIGÉSIMA SEGUNDA - MULTA POR VIOLAÇÃO DA CONVENÇÃO </w:t>
                  </w:r>
                  <w:r w:rsidRPr="00E12AC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E12ACA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Na hipótese de descumprimento de qualquer cláusula desta Convenção Coletiva de Trabalho, o infrator pagará ao sindicato convenente a multa de R$ 1.000,00 (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hum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mil reais)</w:t>
                  </w: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E12ACA" w:rsidRPr="00E12ACA" w:rsidRDefault="00E12ACA" w:rsidP="00E12A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E12AC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 xml:space="preserve">Parágrafo único: </w:t>
                  </w:r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No caso de descumprimento de qualquer cláusula das presentes do referido instrumento coletivo, fica estabelecido que os convenentes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deverão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primeiramente instituir mesa de entendimento visando a composição amigável do conflito. A negociação </w:t>
                  </w:r>
                  <w:proofErr w:type="spell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dar-se-à</w:t>
                  </w:r>
                  <w:proofErr w:type="spell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através de comunicação escrita, no prazo de 48h, ao sindicato patronal que, em resposta, envidará esforços para mediar o conflito no prazo de </w:t>
                  </w:r>
                  <w:proofErr w:type="gramStart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5</w:t>
                  </w:r>
                  <w:proofErr w:type="gramEnd"/>
                  <w:r w:rsidRPr="00E12AC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(cinco) dias úteis.</w:t>
                  </w:r>
                </w:p>
                <w:p w:rsidR="00E12ACA" w:rsidRPr="00E12ACA" w:rsidRDefault="00E12ACA" w:rsidP="00E12ACA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34"/>
                  </w:tblGrid>
                  <w:tr w:rsidR="00E12ACA" w:rsidRPr="00E12A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2ACA" w:rsidRPr="00E12ACA" w:rsidRDefault="00E12ACA" w:rsidP="00E12A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ALDENIS DA SILVA MACHADO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Vice-Presidente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SINDICATO DAS SANT CASAS HOSP ENT FILANT DO EST CEARA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JARDSON SARAIVA CRUZ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Procurador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SINDICATO DAS SANT CASAS HOSP ENT FILANT DO EST CEARA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PAULO ROQUE MEDEIROS DA COSTA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Presidente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 xml:space="preserve">SINDICATO DOS FARMACEUTICOS NO ESTADO DO CEARA </w:t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E12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</w:p>
                    </w:tc>
                  </w:tr>
                </w:tbl>
                <w:p w:rsidR="00E12ACA" w:rsidRPr="00E12ACA" w:rsidRDefault="00E12ACA" w:rsidP="00E12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E12ACA" w:rsidRPr="00E12ACA" w:rsidRDefault="00E12ACA" w:rsidP="00E1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12ACA" w:rsidRPr="00E12ACA" w:rsidRDefault="00E12ACA" w:rsidP="00E1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pt-BR"/>
        </w:rPr>
        <w:drawing>
          <wp:inline distT="0" distB="0" distL="0" distR="0">
            <wp:extent cx="2381250" cy="952500"/>
            <wp:effectExtent l="19050" t="0" r="0" b="0"/>
            <wp:docPr id="3" name="Imagem 3" descr="carregando. favor aguard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egando. favor aguarde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CA" w:rsidRPr="00E12ACA" w:rsidRDefault="00E12ACA" w:rsidP="00E12A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E12ACA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a9ba6033-e6dd-4297-8fba-5189f70f7d5a</w:t>
      </w:r>
    </w:p>
    <w:p w:rsidR="00E12ACA" w:rsidRPr="00E12ACA" w:rsidRDefault="00E12ACA" w:rsidP="00E12A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E12ACA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Y2:a9ba6033-e6dd-4297-8fba-5189f70f7d5a</w:t>
      </w:r>
    </w:p>
    <w:p w:rsidR="00E12ACA" w:rsidRPr="00E12ACA" w:rsidRDefault="00E12ACA" w:rsidP="00E12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ACA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.5pt;height:18pt" o:ole="">
            <v:imagedata r:id="rId5" o:title=""/>
          </v:shape>
          <w:control r:id="rId6" w:name="DefaultOcxName1" w:shapeid="_x0000_i1040"/>
        </w:object>
      </w:r>
    </w:p>
    <w:p w:rsidR="00E12ACA" w:rsidRPr="00E12ACA" w:rsidRDefault="00E12ACA" w:rsidP="00E12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ACA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039" type="#_x0000_t75" style="width:.75pt;height:.75pt" o:ole="">
            <v:imagedata r:id="rId7" o:title=""/>
          </v:shape>
          <w:control r:id="rId8" w:name="getAdsFl" w:shapeid="_x0000_i1039"/>
        </w:object>
      </w:r>
    </w:p>
    <w:p w:rsidR="00CF5569" w:rsidRDefault="00E12ACA" w:rsidP="00E12ACA"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4" name="fixStatusImg" descr="http://aa.static.facdn.com/v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StatusImg" descr="http://aa.static.facdn.com/v/img/1x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569" w:rsidSect="00CF5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CA"/>
    <w:rsid w:val="00CF5569"/>
    <w:rsid w:val="00E1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A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AC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A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AC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12ACA"/>
    <w:rPr>
      <w:i/>
      <w:iCs/>
    </w:rPr>
  </w:style>
  <w:style w:type="character" w:styleId="Forte">
    <w:name w:val="Strong"/>
    <w:basedOn w:val="Fontepargpadro"/>
    <w:uiPriority w:val="22"/>
    <w:qFormat/>
    <w:rsid w:val="00E12ACA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1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12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2801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Ionara</dc:creator>
  <cp:lastModifiedBy>Ionara</cp:lastModifiedBy>
  <cp:revision>1</cp:revision>
  <dcterms:created xsi:type="dcterms:W3CDTF">2013-10-31T19:49:00Z</dcterms:created>
  <dcterms:modified xsi:type="dcterms:W3CDTF">2013-10-31T19:51:00Z</dcterms:modified>
</cp:coreProperties>
</file>